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2.xml" ContentType="application/vnd.openxmlformats-officedocument.drawingml.chart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Информационно-статистический обзор</w:t>
      </w:r>
      <w:r>
        <w:rPr>
          <w:rFonts w:ascii="Arial" w:hAnsi="Arial" w:cs="Arial"/>
          <w:b/>
        </w:rPr>
      </w:r>
    </w:p>
    <w:p>
      <w:pPr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обращений граждан, направленных в </w:t>
      </w:r>
      <w:r>
        <w:rPr>
          <w:rFonts w:ascii="Arial" w:hAnsi="Arial" w:cs="Arial"/>
          <w:b/>
        </w:rPr>
        <w:t xml:space="preserve">Управление</w:t>
      </w:r>
      <w:r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>
        <w:rPr>
          <w:rFonts w:ascii="Arial" w:hAnsi="Arial" w:cs="Arial"/>
          <w:b/>
        </w:rPr>
        <w:t xml:space="preserve">, Республике Хакасия и Республике Тыва (Красноярскстат)</w:t>
      </w:r>
      <w:r>
        <w:rPr>
          <w:rFonts w:ascii="Arial" w:hAnsi="Arial" w:cs="Arial"/>
          <w:b/>
          <w:sz w:val="20"/>
        </w:rPr>
      </w:r>
    </w:p>
    <w:p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2023</w:t>
      </w:r>
      <w:r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у</w:t>
      </w:r>
      <w:r>
        <w:rPr>
          <w:rFonts w:ascii="Arial" w:hAnsi="Arial" w:cs="Arial"/>
          <w:b/>
        </w:rPr>
      </w:r>
    </w:p>
    <w:p>
      <w:pPr>
        <w:ind w:firstLine="0"/>
        <w:jc w:val="center"/>
      </w:pPr>
      <w:r/>
      <w:r/>
    </w:p>
    <w:p>
      <w:pPr>
        <w:spacing w:line="276" w:lineRule="auto"/>
        <w:widowControl w:val="off"/>
      </w:pPr>
      <w:r>
        <w:t xml:space="preserve">В</w:t>
      </w:r>
      <w:r>
        <w:t xml:space="preserve"> </w:t>
      </w:r>
      <w:r>
        <w:t xml:space="preserve">Управление Федеральной службы государственной статистики </w:t>
      </w:r>
      <w:r>
        <w:br/>
      </w:r>
      <w:r>
        <w:t xml:space="preserve">по Красноярскому краю, Республике </w:t>
      </w:r>
      <w:r>
        <w:t xml:space="preserve">Хакасия и Республике Тыва в 202</w:t>
      </w:r>
      <w:r>
        <w:t xml:space="preserve">3</w:t>
      </w:r>
      <w:r>
        <w:t xml:space="preserve"> год</w:t>
      </w:r>
      <w:r>
        <w:t xml:space="preserve">у</w:t>
      </w:r>
      <w:r>
        <w:t xml:space="preserve"> </w:t>
      </w:r>
      <w:r>
        <w:t xml:space="preserve">поступило </w:t>
      </w:r>
      <w:r>
        <w:t xml:space="preserve">402</w:t>
      </w:r>
      <w:r>
        <w:t xml:space="preserve"> </w:t>
      </w:r>
      <w:r>
        <w:t xml:space="preserve">обращени</w:t>
      </w:r>
      <w:r>
        <w:t xml:space="preserve">я</w:t>
      </w:r>
      <w:r>
        <w:t xml:space="preserve"> граждан</w:t>
      </w:r>
      <w:r>
        <w:t xml:space="preserve"> (далее – обращени</w:t>
      </w:r>
      <w:r>
        <w:t xml:space="preserve">е</w:t>
      </w:r>
      <w:r>
        <w:t xml:space="preserve">)</w:t>
      </w:r>
      <w:r>
        <w:t xml:space="preserve">, что на</w:t>
      </w:r>
      <w:r>
        <w:t xml:space="preserve"> </w:t>
      </w:r>
      <w:r>
        <w:t xml:space="preserve">1</w:t>
      </w:r>
      <w:r>
        <w:t xml:space="preserve">,</w:t>
      </w:r>
      <w:r>
        <w:t xml:space="preserve">2</w:t>
      </w:r>
      <w:r>
        <w:t xml:space="preserve"> </w:t>
      </w:r>
      <w:r>
        <w:t xml:space="preserve">% </w:t>
      </w:r>
      <w:r>
        <w:t xml:space="preserve">меньше</w:t>
      </w:r>
      <w:r>
        <w:t xml:space="preserve">,</w:t>
      </w:r>
      <w:r>
        <w:t xml:space="preserve"> </w:t>
        <w:br/>
        <w:t xml:space="preserve">чем</w:t>
      </w:r>
      <w:r>
        <w:t xml:space="preserve"> </w:t>
      </w:r>
      <w:r>
        <w:t xml:space="preserve">в 20</w:t>
      </w:r>
      <w:r>
        <w:t xml:space="preserve">2</w:t>
      </w:r>
      <w:r>
        <w:t xml:space="preserve">2</w:t>
      </w:r>
      <w:r>
        <w:t xml:space="preserve"> год</w:t>
      </w:r>
      <w:r>
        <w:t xml:space="preserve">у</w:t>
      </w:r>
      <w:r>
        <w:t xml:space="preserve">. </w:t>
      </w:r>
      <w:r/>
    </w:p>
    <w:p>
      <w:r>
        <w:t xml:space="preserve">Из них </w:t>
      </w:r>
      <w:r>
        <w:t xml:space="preserve">3</w:t>
      </w:r>
      <w:r>
        <w:t xml:space="preserve">51</w:t>
      </w:r>
      <w:r>
        <w:t xml:space="preserve"> </w:t>
      </w:r>
      <w:r>
        <w:t xml:space="preserve">обращение</w:t>
      </w:r>
      <w:r>
        <w:t xml:space="preserve"> </w:t>
      </w:r>
      <w:r>
        <w:t xml:space="preserve">(</w:t>
      </w:r>
      <w:r>
        <w:t xml:space="preserve">87</w:t>
      </w:r>
      <w:r>
        <w:t xml:space="preserve"> %) поступило из Красноярского края, </w:t>
      </w:r>
      <w:r>
        <w:t xml:space="preserve">28</w:t>
      </w:r>
      <w:r>
        <w:t xml:space="preserve"> </w:t>
      </w:r>
      <w:r>
        <w:t xml:space="preserve">(</w:t>
      </w:r>
      <w:r>
        <w:t xml:space="preserve">7</w:t>
      </w:r>
      <w:r>
        <w:t xml:space="preserve"> %)</w:t>
        <w:br/>
        <w:t xml:space="preserve">из Республики Хакасия, </w:t>
      </w:r>
      <w:r>
        <w:t xml:space="preserve">23</w:t>
      </w:r>
      <w:r>
        <w:t xml:space="preserve"> (</w:t>
      </w:r>
      <w:r>
        <w:t xml:space="preserve">6</w:t>
      </w:r>
      <w:r>
        <w:t xml:space="preserve"> %) − из Республики Тыва.</w:t>
      </w:r>
      <w:r/>
    </w:p>
    <w:p>
      <w:r>
        <w:t xml:space="preserve">По </w:t>
      </w:r>
      <w:r>
        <w:rPr>
          <w:b/>
        </w:rPr>
        <w:t xml:space="preserve">периодам года</w:t>
      </w:r>
      <w:r>
        <w:t xml:space="preserve"> </w:t>
      </w:r>
      <w:r>
        <w:t xml:space="preserve">поступило:</w:t>
      </w:r>
      <w:r/>
    </w:p>
    <w:p>
      <w:r>
        <w:t xml:space="preserve">в </w:t>
      </w:r>
      <w:r>
        <w:rPr>
          <w:lang w:val="en-US"/>
        </w:rPr>
        <w:t xml:space="preserve">I</w:t>
      </w:r>
      <w:r>
        <w:t xml:space="preserve"> </w:t>
      </w:r>
      <w:r>
        <w:t xml:space="preserve">квартале – </w:t>
      </w:r>
      <w:r>
        <w:t xml:space="preserve">107</w:t>
      </w:r>
      <w:r>
        <w:t xml:space="preserve"> (</w:t>
      </w:r>
      <w:r>
        <w:t xml:space="preserve">27</w:t>
      </w:r>
      <w:r>
        <w:t xml:space="preserve"> %), </w:t>
      </w:r>
      <w:r/>
    </w:p>
    <w:p>
      <w:r>
        <w:t xml:space="preserve">во </w:t>
      </w:r>
      <w:r>
        <w:rPr>
          <w:lang w:val="en-US"/>
        </w:rPr>
        <w:t xml:space="preserve">II</w:t>
      </w:r>
      <w:r>
        <w:t xml:space="preserve"> квартале </w:t>
      </w:r>
      <w:r>
        <w:t xml:space="preserve">– </w:t>
      </w:r>
      <w:r>
        <w:t xml:space="preserve">106</w:t>
      </w:r>
      <w:r>
        <w:t xml:space="preserve"> (</w:t>
      </w:r>
      <w:r>
        <w:t xml:space="preserve">26</w:t>
      </w:r>
      <w:r>
        <w:t xml:space="preserve"> %),</w:t>
      </w:r>
      <w:r/>
    </w:p>
    <w:p>
      <w:r>
        <w:t xml:space="preserve">в </w:t>
      </w:r>
      <w:r>
        <w:rPr>
          <w:lang w:val="en-US"/>
        </w:rPr>
        <w:t xml:space="preserve">III</w:t>
      </w:r>
      <w:r>
        <w:t xml:space="preserve"> квартале –</w:t>
      </w:r>
      <w:r>
        <w:t xml:space="preserve"> </w:t>
      </w:r>
      <w:r>
        <w:t xml:space="preserve">91</w:t>
      </w:r>
      <w:r>
        <w:t xml:space="preserve"> (</w:t>
      </w:r>
      <w:r>
        <w:t xml:space="preserve">23</w:t>
      </w:r>
      <w:r>
        <w:t xml:space="preserve"> %),</w:t>
      </w:r>
      <w:r/>
    </w:p>
    <w:p>
      <w:r>
        <w:t xml:space="preserve">в </w:t>
      </w:r>
      <w:r>
        <w:rPr>
          <w:lang w:val="en-US"/>
        </w:rPr>
        <w:t xml:space="preserve">IV</w:t>
      </w:r>
      <w:r>
        <w:t xml:space="preserve"> квартале</w:t>
      </w:r>
      <w:r>
        <w:t xml:space="preserve"> – </w:t>
      </w:r>
      <w:r>
        <w:t xml:space="preserve">98</w:t>
      </w:r>
      <w:r>
        <w:t xml:space="preserve"> (</w:t>
      </w:r>
      <w:r>
        <w:t xml:space="preserve">24</w:t>
      </w:r>
      <w:r>
        <w:t xml:space="preserve"> %).</w:t>
      </w:r>
      <w:r/>
    </w:p>
    <w:p>
      <w:r/>
      <w:r/>
    </w:p>
    <w:p>
      <w:pPr>
        <w:ind w:firstLine="0"/>
      </w:pPr>
      <w:r>
        <w:drawing>
          <wp:inline distT="0" distB="0" distL="0" distR="0">
            <wp:extent cx="6178378" cy="372350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/>
    </w:p>
    <w:p>
      <w:r/>
      <w:r/>
    </w:p>
    <w:p>
      <w:r>
        <w:t xml:space="preserve">Количество поступивших</w:t>
      </w:r>
      <w:r>
        <w:t xml:space="preserve"> </w:t>
      </w:r>
      <w:r>
        <w:t xml:space="preserve">обращений </w:t>
      </w:r>
      <w:r>
        <w:t xml:space="preserve">в 2023</w:t>
      </w:r>
      <w:r>
        <w:t xml:space="preserve"> г. </w:t>
      </w:r>
      <w:r>
        <w:t xml:space="preserve">по типу</w:t>
      </w:r>
      <w:r>
        <w:t xml:space="preserve"> обращения:</w:t>
      </w:r>
      <w:r/>
    </w:p>
    <w:p>
      <w:pPr>
        <w:tabs>
          <w:tab w:val="left" w:pos="1418" w:leader="none"/>
        </w:tabs>
      </w:pPr>
      <w:r>
        <w:t xml:space="preserve">заявления </w:t>
      </w:r>
      <w:r>
        <w:t xml:space="preserve">–</w:t>
      </w:r>
      <w:r>
        <w:t xml:space="preserve"> </w:t>
      </w:r>
      <w:r>
        <w:t xml:space="preserve">143</w:t>
      </w:r>
      <w:r>
        <w:t xml:space="preserve">(</w:t>
      </w:r>
      <w:r>
        <w:t xml:space="preserve">36</w:t>
      </w:r>
      <w:r>
        <w:t xml:space="preserve"> </w:t>
      </w:r>
      <w:r>
        <w:t xml:space="preserve">%)</w:t>
      </w:r>
      <w:r>
        <w:rPr>
          <w:rStyle w:val="743"/>
        </w:rPr>
        <w:footnoteReference w:id="2"/>
      </w:r>
      <w:r>
        <w:t xml:space="preserve">;</w:t>
      </w:r>
      <w:r/>
    </w:p>
    <w:p>
      <w:pPr>
        <w:tabs>
          <w:tab w:val="left" w:pos="1418" w:leader="none"/>
        </w:tabs>
      </w:pPr>
      <w:r>
        <w:t xml:space="preserve">запросы </w:t>
      </w:r>
      <w:r>
        <w:t xml:space="preserve">о предоставлении официальной статистической информации </w:t>
        <w:br/>
        <w:t xml:space="preserve">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>
        <w:t xml:space="preserve">–</w:t>
      </w:r>
      <w:r>
        <w:t xml:space="preserve"> </w:t>
      </w:r>
      <w:r>
        <w:t xml:space="preserve">259</w:t>
      </w:r>
      <w:r>
        <w:t xml:space="preserve"> </w:t>
      </w:r>
      <w:r>
        <w:t xml:space="preserve">(</w:t>
      </w:r>
      <w:r>
        <w:t xml:space="preserve">8</w:t>
      </w:r>
      <w:r>
        <w:t xml:space="preserve">2</w:t>
      </w:r>
      <w:r>
        <w:t xml:space="preserve"> </w:t>
      </w:r>
      <w:r>
        <w:t xml:space="preserve">%).</w:t>
      </w:r>
      <w:r/>
    </w:p>
    <w:p>
      <w:pPr>
        <w:spacing w:line="276" w:lineRule="auto"/>
      </w:pPr>
      <w:r>
        <w:t xml:space="preserve">Каналы поступления</w:t>
      </w:r>
      <w:r>
        <w:t xml:space="preserve"> обращений</w:t>
      </w:r>
      <w:r>
        <w:t xml:space="preserve"> граждан:</w:t>
      </w:r>
      <w:r/>
    </w:p>
    <w:p>
      <w:r>
        <w:t xml:space="preserve">1. По </w:t>
      </w:r>
      <w:r>
        <w:t xml:space="preserve">источнику</w:t>
      </w:r>
      <w:r>
        <w:t xml:space="preserve"> </w:t>
      </w:r>
      <w:r>
        <w:t xml:space="preserve">поступления:</w:t>
      </w:r>
      <w:r/>
    </w:p>
    <w:p>
      <w:r>
        <w:t xml:space="preserve">от граждан </w:t>
      </w:r>
      <w:r>
        <w:t xml:space="preserve">–</w:t>
      </w:r>
      <w:r>
        <w:t xml:space="preserve"> </w:t>
      </w:r>
      <w:r>
        <w:t xml:space="preserve">40</w:t>
      </w:r>
      <w:r>
        <w:t xml:space="preserve">2</w:t>
      </w:r>
      <w:r>
        <w:t xml:space="preserve"> (</w:t>
      </w:r>
      <w:r>
        <w:t xml:space="preserve">100 </w:t>
      </w:r>
      <w:r>
        <w:t xml:space="preserve">%)</w:t>
      </w:r>
      <w:r>
        <w:t xml:space="preserve">.</w:t>
      </w:r>
      <w:r/>
    </w:p>
    <w:p>
      <w:r>
        <w:t xml:space="preserve">2. По </w:t>
      </w:r>
      <w:r>
        <w:t xml:space="preserve">типу доставки:</w:t>
      </w:r>
      <w:r/>
    </w:p>
    <w:p>
      <w:pPr>
        <w:ind w:firstLine="1134"/>
      </w:pPr>
      <w:r>
        <w:t xml:space="preserve">п</w:t>
      </w:r>
      <w:r>
        <w:t xml:space="preserve">очтой России </w:t>
      </w:r>
      <w:r>
        <w:t xml:space="preserve">–</w:t>
      </w:r>
      <w:r>
        <w:t xml:space="preserve"> </w:t>
      </w:r>
      <w:r>
        <w:t xml:space="preserve">81</w:t>
      </w:r>
      <w:r>
        <w:t xml:space="preserve"> </w:t>
      </w:r>
      <w:r>
        <w:t xml:space="preserve">(</w:t>
      </w:r>
      <w:r>
        <w:t xml:space="preserve">20</w:t>
      </w:r>
      <w:r>
        <w:t xml:space="preserve"> </w:t>
      </w:r>
      <w:r>
        <w:t xml:space="preserve">%)</w:t>
      </w:r>
      <w:r>
        <w:t xml:space="preserve">;</w:t>
      </w:r>
      <w:r/>
    </w:p>
    <w:p>
      <w:pPr>
        <w:ind w:firstLine="1134"/>
      </w:pPr>
      <w:r>
        <w:t xml:space="preserve">официальный сайт – </w:t>
      </w:r>
      <w:r>
        <w:t xml:space="preserve">72</w:t>
      </w:r>
      <w:r>
        <w:t xml:space="preserve"> (</w:t>
      </w:r>
      <w:r>
        <w:t xml:space="preserve">18</w:t>
      </w:r>
      <w:r>
        <w:t xml:space="preserve">%)</w:t>
      </w:r>
      <w:r/>
    </w:p>
    <w:p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>
        <w:t xml:space="preserve">–</w:t>
      </w:r>
      <w:r>
        <w:t xml:space="preserve"> </w:t>
      </w:r>
      <w:r>
        <w:t xml:space="preserve">101</w:t>
      </w:r>
      <w:r>
        <w:t xml:space="preserve"> (</w:t>
      </w:r>
      <w:r>
        <w:t xml:space="preserve">25</w:t>
      </w:r>
      <w:r>
        <w:t xml:space="preserve"> </w:t>
      </w:r>
      <w:r>
        <w:t xml:space="preserve">%)</w:t>
      </w:r>
      <w:r>
        <w:t xml:space="preserve">;</w:t>
      </w:r>
      <w:r/>
    </w:p>
    <w:p>
      <w:pPr>
        <w:ind w:firstLine="1134"/>
      </w:pPr>
      <w:r>
        <w:t xml:space="preserve">другим способ</w:t>
      </w:r>
      <w:r>
        <w:t xml:space="preserve">ом</w:t>
      </w:r>
      <w:r>
        <w:t xml:space="preserve"> доставки</w:t>
      </w:r>
      <w:r>
        <w:t xml:space="preserve"> </w:t>
      </w:r>
      <w:r>
        <w:t xml:space="preserve">–</w:t>
      </w:r>
      <w:r>
        <w:t xml:space="preserve"> </w:t>
      </w:r>
      <w:r>
        <w:t xml:space="preserve">148</w:t>
      </w:r>
      <w:r>
        <w:t xml:space="preserve"> (</w:t>
      </w:r>
      <w:r>
        <w:t xml:space="preserve">37</w:t>
      </w:r>
      <w:r>
        <w:t xml:space="preserve"> </w:t>
      </w:r>
      <w:r>
        <w:t xml:space="preserve">%)</w:t>
      </w:r>
      <w:r>
        <w:t xml:space="preserve">.</w:t>
      </w:r>
      <w:r/>
    </w:p>
    <w:p>
      <w:pPr>
        <w:ind w:firstLine="1134"/>
      </w:pPr>
      <w:r/>
      <w:r/>
    </w:p>
    <w:p>
      <w:pPr>
        <w:ind w:firstLine="0"/>
      </w:pPr>
      <w:r>
        <w:drawing>
          <wp:inline distT="0" distB="0" distL="0" distR="0">
            <wp:extent cx="6257581" cy="365760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/>
    </w:p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</w:p>
    <w:p>
      <w:r/>
      <w:r/>
    </w:p>
    <w:p>
      <w:pPr>
        <w:jc w:val="center"/>
      </w:pPr>
      <w:r>
        <w:drawing>
          <wp:inline distT="0" distB="0" distL="0" distR="0">
            <wp:extent cx="5651157" cy="309742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r/>
      <w:r/>
    </w:p>
    <w:p>
      <w:r>
        <w:t xml:space="preserve">Красноярскстатом</w:t>
      </w:r>
      <w:r>
        <w:t xml:space="preserve"> в 202</w:t>
      </w:r>
      <w:r>
        <w:t xml:space="preserve">3</w:t>
      </w:r>
      <w:bookmarkStart w:id="0" w:name="_GoBack"/>
      <w:r/>
      <w:bookmarkEnd w:id="0"/>
      <w:r>
        <w:t xml:space="preserve"> год</w:t>
      </w:r>
      <w:r>
        <w:t xml:space="preserve">у</w:t>
      </w:r>
      <w:r>
        <w:t xml:space="preserve"> рассмотрено </w:t>
      </w:r>
      <w:r>
        <w:t xml:space="preserve">399</w:t>
      </w:r>
      <w:r>
        <w:t xml:space="preserve"> обращени</w:t>
      </w:r>
      <w:r>
        <w:t xml:space="preserve">й</w:t>
      </w:r>
      <w:r>
        <w:t xml:space="preserve"> граждан</w:t>
      </w:r>
      <w:r>
        <w:t xml:space="preserve">. </w:t>
      </w:r>
      <w:r>
        <w:br/>
      </w:r>
      <w:r>
        <w:t xml:space="preserve">На все обращения даны ответы по существу поставленных в них вопросов </w:t>
      </w:r>
      <w:r>
        <w:br/>
      </w:r>
      <w:r>
        <w:t xml:space="preserve">в установленные законодательством Российской Федерации сроки.</w:t>
      </w:r>
      <w:r/>
    </w:p>
    <w:p>
      <w:r/>
      <w:r/>
    </w:p>
    <w:p>
      <w:r>
        <w:t xml:space="preserve">Гражданам направлены ответы с результатом рассмотрения обращений:</w:t>
      </w:r>
      <w:r/>
    </w:p>
    <w:p>
      <w:r>
        <w:t xml:space="preserve">«разъяснено» – </w:t>
      </w:r>
      <w:r>
        <w:t xml:space="preserve">60</w:t>
      </w:r>
      <w:r>
        <w:t xml:space="preserve"> (</w:t>
      </w:r>
      <w:r>
        <w:t xml:space="preserve">1</w:t>
      </w:r>
      <w:r>
        <w:t xml:space="preserve">5</w:t>
      </w:r>
      <w:r>
        <w:t xml:space="preserve"> %);</w:t>
      </w:r>
      <w:r/>
    </w:p>
    <w:p>
      <w:r>
        <w:t xml:space="preserve">«направлено по компетенции» − 5</w:t>
      </w:r>
      <w:r>
        <w:t xml:space="preserve"> (</w:t>
      </w:r>
      <w:r>
        <w:t xml:space="preserve">1</w:t>
      </w:r>
      <w:r>
        <w:t xml:space="preserve"> %);</w:t>
      </w:r>
      <w:r/>
    </w:p>
    <w:p>
      <w:r>
        <w:t xml:space="preserve">«поддержано» – </w:t>
      </w:r>
      <w:r>
        <w:t xml:space="preserve">79</w:t>
      </w:r>
      <w:r>
        <w:t xml:space="preserve"> (</w:t>
      </w:r>
      <w:r>
        <w:t xml:space="preserve">20</w:t>
      </w:r>
      <w:r>
        <w:t xml:space="preserve">%)</w:t>
      </w:r>
      <w:r/>
    </w:p>
    <w:p>
      <w:r>
        <w:t xml:space="preserve">«предоставлена статистическая информация и данные годовой бухгалтерской отчетности» – </w:t>
      </w:r>
      <w:r>
        <w:t xml:space="preserve">255</w:t>
      </w:r>
      <w:r>
        <w:t xml:space="preserve"> (</w:t>
      </w:r>
      <w:r>
        <w:t xml:space="preserve">64</w:t>
      </w:r>
      <w:r>
        <w:t xml:space="preserve"> %);</w:t>
      </w:r>
      <w:r/>
    </w:p>
    <w:p>
      <w:r/>
      <w:r/>
    </w:p>
    <w:p>
      <w:r>
        <w:t xml:space="preserve">Гражданам направлены ответы за подписью:</w:t>
      </w:r>
      <w:r/>
    </w:p>
    <w:p>
      <w:r>
        <w:t xml:space="preserve">руководителя Красноярскстата – </w:t>
      </w:r>
      <w:r>
        <w:t xml:space="preserve">144</w:t>
      </w:r>
      <w:r>
        <w:t xml:space="preserve"> </w:t>
      </w:r>
      <w:r>
        <w:t xml:space="preserve">(</w:t>
      </w:r>
      <w:r>
        <w:t xml:space="preserve">36</w:t>
      </w:r>
      <w:r>
        <w:t xml:space="preserve"> %);</w:t>
      </w:r>
      <w:r/>
    </w:p>
    <w:p>
      <w:r>
        <w:t xml:space="preserve">заместителя руководителя Красноярскстата – </w:t>
      </w:r>
      <w:r>
        <w:t xml:space="preserve">255</w:t>
      </w:r>
      <w:r>
        <w:t xml:space="preserve"> (</w:t>
      </w:r>
      <w:r>
        <w:t xml:space="preserve">64</w:t>
      </w:r>
      <w:r>
        <w:t xml:space="preserve"> %).</w:t>
      </w:r>
      <w:r/>
    </w:p>
    <w:p>
      <w:r/>
      <w:r/>
    </w:p>
    <w:p>
      <w:r>
        <w:drawing>
          <wp:inline distT="0" distB="0" distL="0" distR="0">
            <wp:extent cx="5505450" cy="2686050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/>
    </w:p>
    <w:p>
      <w:pPr>
        <w:rPr>
          <w:i/>
        </w:rPr>
      </w:pPr>
      <w:r>
        <w:rPr>
          <w:i/>
        </w:rPr>
      </w:r>
      <w:r>
        <w:rPr>
          <w:i/>
        </w:rPr>
      </w:r>
    </w:p>
    <w:p>
      <w:r>
        <w:t xml:space="preserve">Личный прием граждан руководством Красноярскстата в 202</w:t>
      </w:r>
      <w:r>
        <w:t xml:space="preserve">3 </w:t>
      </w:r>
      <w:r>
        <w:t xml:space="preserve">году</w:t>
      </w:r>
      <w:r>
        <w:t xml:space="preserve"> </w:t>
        <w:br/>
        <w:t xml:space="preserve">не проводился в связи с отсутствием обращений граждан по вопросам, касающимся компетенции Красноярскстата.</w:t>
      </w:r>
      <w:r/>
    </w:p>
    <w:p>
      <w:pPr>
        <w:widowControl w:val="off"/>
      </w:pPr>
      <w:r/>
      <w:r/>
    </w:p>
    <w:p>
      <w:pPr>
        <w:jc w:val="center"/>
        <w:widowControl w:val="off"/>
      </w:pPr>
      <w:r>
        <w:t xml:space="preserve">_________</w:t>
      </w:r>
      <w:r/>
    </w:p>
    <w:p>
      <w:pPr>
        <w:pStyle w:val="7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276" w:lineRule="auto"/>
        <w:widowControl w:val="off"/>
      </w:pPr>
      <w:r/>
      <w:r/>
    </w:p>
    <w:sectPr>
      <w:headerReference w:type="default" r:id="rId9"/>
      <w:footnotePr>
        <w:numRestart w:val="eachPage"/>
      </w:footnotePr>
      <w:endnotePr/>
      <w:type w:val="nextPage"/>
      <w:pgSz w:w="11906" w:h="16838" w:orient="portrait"/>
      <w:pgMar w:top="1134" w:right="850" w:bottom="709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41"/>
      </w:pPr>
      <w:r>
        <w:rPr>
          <w:rStyle w:val="743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>
        <w:t xml:space="preserve"> </w:t>
      </w:r>
      <w:r>
        <w:t xml:space="preserve">в субпозиции % от показателя позиции в тех случаях, где это имеется.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82798301"/>
      <w:docPartObj>
        <w:docPartGallery w:val="Page Numbers (Top of Page)"/>
        <w:docPartUnique w:val="true"/>
      </w:docPartObj>
      <w:rPr/>
    </w:sdtPr>
    <w:sdtContent>
      <w:p>
        <w:pPr>
          <w:pStyle w:val="74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4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717"/>
      <w:isLgl w:val="false"/>
      <w:suff w:val="tab"/>
      <w:lvlText w:val="%1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pStyle w:val="718"/>
      <w:isLgl/>
      <w:suff w:val="tab"/>
      <w:lvlText w:val="%1.%2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pStyle w:val="719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pStyle w:val="720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721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722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723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eachPage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6"/>
    <w:link w:val="71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6"/>
    <w:link w:val="71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6"/>
    <w:link w:val="71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6"/>
    <w:link w:val="72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6"/>
    <w:link w:val="7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26"/>
    <w:link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26"/>
    <w:link w:val="7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26"/>
    <w:link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26"/>
    <w:link w:val="725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6"/>
    <w:next w:val="7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26"/>
    <w:link w:val="34"/>
    <w:uiPriority w:val="10"/>
    <w:rPr>
      <w:sz w:val="48"/>
      <w:szCs w:val="48"/>
    </w:rPr>
  </w:style>
  <w:style w:type="paragraph" w:styleId="36">
    <w:name w:val="Subtitle"/>
    <w:basedOn w:val="716"/>
    <w:next w:val="7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6"/>
    <w:link w:val="36"/>
    <w:uiPriority w:val="11"/>
    <w:rPr>
      <w:sz w:val="24"/>
      <w:szCs w:val="24"/>
    </w:rPr>
  </w:style>
  <w:style w:type="paragraph" w:styleId="38">
    <w:name w:val="Quote"/>
    <w:basedOn w:val="716"/>
    <w:next w:val="7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6"/>
    <w:next w:val="7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6"/>
    <w:link w:val="744"/>
    <w:uiPriority w:val="99"/>
  </w:style>
  <w:style w:type="character" w:styleId="45">
    <w:name w:val="Footer Char"/>
    <w:basedOn w:val="726"/>
    <w:link w:val="746"/>
    <w:uiPriority w:val="99"/>
  </w:style>
  <w:style w:type="character" w:styleId="47">
    <w:name w:val="Caption Char"/>
    <w:basedOn w:val="738"/>
    <w:link w:val="746"/>
    <w:uiPriority w:val="99"/>
  </w:style>
  <w:style w:type="table" w:styleId="48">
    <w:name w:val="Table Grid"/>
    <w:basedOn w:val="7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741"/>
    <w:uiPriority w:val="99"/>
    <w:rPr>
      <w:sz w:val="18"/>
    </w:rPr>
  </w:style>
  <w:style w:type="character" w:styleId="179">
    <w:name w:val="Endnote Text Char"/>
    <w:link w:val="754"/>
    <w:uiPriority w:val="99"/>
    <w:rPr>
      <w:sz w:val="20"/>
    </w:rPr>
  </w:style>
  <w:style w:type="paragraph" w:styleId="181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16" w:default="1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717">
    <w:name w:val="Heading 1"/>
    <w:basedOn w:val="716"/>
    <w:next w:val="716"/>
    <w:link w:val="729"/>
    <w:qFormat/>
    <w:pPr>
      <w:numPr>
        <w:ilvl w:val="0"/>
        <w:numId w:val="26"/>
      </w:numPr>
      <w:jc w:val="center"/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718">
    <w:name w:val="Heading 2"/>
    <w:basedOn w:val="716"/>
    <w:next w:val="716"/>
    <w:link w:val="730"/>
    <w:qFormat/>
    <w:pPr>
      <w:numPr>
        <w:ilvl w:val="1"/>
        <w:numId w:val="26"/>
      </w:numPr>
      <w:jc w:val="center"/>
      <w:keepNext/>
      <w:spacing w:before="240" w:after="240"/>
      <w:outlineLvl w:val="1"/>
    </w:pPr>
    <w:rPr>
      <w:rFonts w:cs="Arial"/>
      <w:bCs/>
      <w:iCs/>
    </w:rPr>
  </w:style>
  <w:style w:type="paragraph" w:styleId="719">
    <w:name w:val="Heading 3"/>
    <w:basedOn w:val="716"/>
    <w:next w:val="716"/>
    <w:link w:val="731"/>
    <w:qFormat/>
    <w:pPr>
      <w:numPr>
        <w:ilvl w:val="2"/>
        <w:numId w:val="26"/>
      </w:num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20">
    <w:name w:val="Heading 4"/>
    <w:basedOn w:val="716"/>
    <w:next w:val="716"/>
    <w:link w:val="732"/>
    <w:qFormat/>
    <w:pPr>
      <w:numPr>
        <w:ilvl w:val="3"/>
        <w:numId w:val="26"/>
      </w:numPr>
      <w:keepNext/>
      <w:spacing w:before="240" w:after="60"/>
      <w:outlineLvl w:val="3"/>
    </w:pPr>
    <w:rPr>
      <w:b/>
      <w:bCs/>
    </w:rPr>
  </w:style>
  <w:style w:type="paragraph" w:styleId="721">
    <w:name w:val="Heading 5"/>
    <w:basedOn w:val="716"/>
    <w:next w:val="716"/>
    <w:link w:val="733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22">
    <w:name w:val="Heading 6"/>
    <w:basedOn w:val="716"/>
    <w:next w:val="716"/>
    <w:link w:val="734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23">
    <w:name w:val="Heading 7"/>
    <w:basedOn w:val="716"/>
    <w:next w:val="716"/>
    <w:link w:val="735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724">
    <w:name w:val="Heading 8"/>
    <w:basedOn w:val="716"/>
    <w:next w:val="716"/>
    <w:link w:val="736"/>
    <w:qFormat/>
    <w:pPr>
      <w:ind w:left="1440" w:hanging="1440"/>
      <w:spacing w:before="240" w:after="60"/>
      <w:tabs>
        <w:tab w:val="num" w:pos="1440" w:leader="none"/>
      </w:tabs>
      <w:outlineLvl w:val="7"/>
    </w:pPr>
    <w:rPr>
      <w:i/>
      <w:iCs/>
      <w:sz w:val="24"/>
      <w:szCs w:val="24"/>
    </w:rPr>
  </w:style>
  <w:style w:type="paragraph" w:styleId="725">
    <w:name w:val="Heading 9"/>
    <w:basedOn w:val="716"/>
    <w:next w:val="716"/>
    <w:link w:val="737"/>
    <w:qFormat/>
    <w:pPr>
      <w:ind w:left="1584" w:hanging="1584"/>
      <w:spacing w:before="240" w:after="60"/>
      <w:tabs>
        <w:tab w:val="num" w:pos="1584" w:leader="none"/>
      </w:tabs>
      <w:outlineLvl w:val="8"/>
    </w:pPr>
    <w:rPr>
      <w:rFonts w:ascii="Arial" w:hAnsi="Arial" w:cs="Arial"/>
      <w:sz w:val="22"/>
      <w:szCs w:val="22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Заголовок 1 Знак"/>
    <w:basedOn w:val="726"/>
    <w:link w:val="717"/>
    <w:rPr>
      <w:rFonts w:cs="Arial"/>
      <w:b/>
      <w:bCs/>
      <w:sz w:val="28"/>
      <w:szCs w:val="32"/>
      <w:lang w:eastAsia="ru-RU"/>
    </w:rPr>
  </w:style>
  <w:style w:type="character" w:styleId="730" w:customStyle="1">
    <w:name w:val="Заголовок 2 Знак"/>
    <w:basedOn w:val="726"/>
    <w:link w:val="718"/>
    <w:rPr>
      <w:rFonts w:cs="Arial"/>
      <w:bCs/>
      <w:iCs/>
      <w:sz w:val="28"/>
      <w:szCs w:val="28"/>
      <w:lang w:eastAsia="ru-RU"/>
    </w:rPr>
  </w:style>
  <w:style w:type="character" w:styleId="731" w:customStyle="1">
    <w:name w:val="Заголовок 3 Знак"/>
    <w:basedOn w:val="726"/>
    <w:link w:val="719"/>
    <w:rPr>
      <w:rFonts w:ascii="Arial" w:hAnsi="Arial" w:cs="Arial"/>
      <w:b/>
      <w:bCs/>
      <w:sz w:val="28"/>
      <w:szCs w:val="26"/>
      <w:lang w:eastAsia="ru-RU"/>
    </w:rPr>
  </w:style>
  <w:style w:type="character" w:styleId="732" w:customStyle="1">
    <w:name w:val="Заголовок 4 Знак"/>
    <w:basedOn w:val="726"/>
    <w:link w:val="720"/>
    <w:rPr>
      <w:b/>
      <w:bCs/>
      <w:sz w:val="28"/>
      <w:szCs w:val="28"/>
      <w:lang w:eastAsia="ru-RU"/>
    </w:rPr>
  </w:style>
  <w:style w:type="character" w:styleId="733" w:customStyle="1">
    <w:name w:val="Заголовок 5 Знак"/>
    <w:basedOn w:val="726"/>
    <w:link w:val="721"/>
    <w:rPr>
      <w:b/>
      <w:bCs/>
      <w:i/>
      <w:iCs/>
      <w:sz w:val="26"/>
      <w:szCs w:val="26"/>
      <w:lang w:eastAsia="ru-RU"/>
    </w:rPr>
  </w:style>
  <w:style w:type="character" w:styleId="734" w:customStyle="1">
    <w:name w:val="Заголовок 6 Знак"/>
    <w:basedOn w:val="726"/>
    <w:link w:val="722"/>
    <w:rPr>
      <w:b/>
      <w:bCs/>
      <w:sz w:val="22"/>
      <w:szCs w:val="22"/>
      <w:lang w:eastAsia="ru-RU"/>
    </w:rPr>
  </w:style>
  <w:style w:type="character" w:styleId="735" w:customStyle="1">
    <w:name w:val="Заголовок 7 Знак"/>
    <w:basedOn w:val="726"/>
    <w:link w:val="723"/>
    <w:rPr>
      <w:sz w:val="24"/>
      <w:szCs w:val="24"/>
      <w:lang w:eastAsia="ru-RU"/>
    </w:rPr>
  </w:style>
  <w:style w:type="character" w:styleId="736" w:customStyle="1">
    <w:name w:val="Заголовок 8 Знак"/>
    <w:basedOn w:val="726"/>
    <w:link w:val="724"/>
    <w:rPr>
      <w:i/>
      <w:iCs/>
      <w:sz w:val="24"/>
      <w:szCs w:val="24"/>
      <w:lang w:eastAsia="ru-RU"/>
    </w:rPr>
  </w:style>
  <w:style w:type="character" w:styleId="737" w:customStyle="1">
    <w:name w:val="Заголовок 9 Знак"/>
    <w:basedOn w:val="726"/>
    <w:link w:val="725"/>
    <w:rPr>
      <w:rFonts w:ascii="Arial" w:hAnsi="Arial" w:cs="Arial"/>
      <w:sz w:val="22"/>
      <w:szCs w:val="22"/>
      <w:lang w:eastAsia="ru-RU"/>
    </w:rPr>
  </w:style>
  <w:style w:type="paragraph" w:styleId="738">
    <w:name w:val="Caption"/>
    <w:basedOn w:val="716"/>
    <w:next w:val="716"/>
    <w:qFormat/>
    <w:pPr>
      <w:ind w:firstLine="0"/>
      <w:jc w:val="center"/>
      <w:spacing w:line="20" w:lineRule="atLeast"/>
    </w:pPr>
    <w:rPr>
      <w:b/>
      <w:sz w:val="24"/>
      <w:szCs w:val="20"/>
    </w:rPr>
  </w:style>
  <w:style w:type="character" w:styleId="739">
    <w:name w:val="Strong"/>
    <w:basedOn w:val="726"/>
    <w:qFormat/>
    <w:rPr>
      <w:b/>
      <w:bCs/>
    </w:rPr>
  </w:style>
  <w:style w:type="paragraph" w:styleId="740" w:customStyle="1">
    <w:name w:val="Default"/>
    <w:rPr>
      <w:color w:val="000000"/>
      <w:sz w:val="24"/>
      <w:szCs w:val="24"/>
    </w:rPr>
  </w:style>
  <w:style w:type="paragraph" w:styleId="741">
    <w:name w:val="footnote text"/>
    <w:basedOn w:val="716"/>
    <w:link w:val="742"/>
    <w:uiPriority w:val="99"/>
    <w:semiHidden/>
    <w:unhideWhenUsed/>
    <w:rPr>
      <w:sz w:val="20"/>
      <w:szCs w:val="20"/>
    </w:rPr>
  </w:style>
  <w:style w:type="character" w:styleId="742" w:customStyle="1">
    <w:name w:val="Текст сноски Знак"/>
    <w:basedOn w:val="726"/>
    <w:link w:val="741"/>
    <w:uiPriority w:val="99"/>
    <w:semiHidden/>
    <w:rPr>
      <w:lang w:eastAsia="ru-RU"/>
    </w:rPr>
  </w:style>
  <w:style w:type="character" w:styleId="743">
    <w:name w:val="footnote reference"/>
    <w:basedOn w:val="726"/>
    <w:uiPriority w:val="99"/>
    <w:semiHidden/>
    <w:unhideWhenUsed/>
    <w:rPr>
      <w:vertAlign w:val="superscript"/>
    </w:rPr>
  </w:style>
  <w:style w:type="paragraph" w:styleId="744">
    <w:name w:val="Header"/>
    <w:basedOn w:val="716"/>
    <w:link w:val="7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5" w:customStyle="1">
    <w:name w:val="Верхний колонтитул Знак"/>
    <w:basedOn w:val="726"/>
    <w:link w:val="744"/>
    <w:uiPriority w:val="99"/>
    <w:rPr>
      <w:sz w:val="28"/>
      <w:szCs w:val="28"/>
      <w:lang w:eastAsia="ru-RU"/>
    </w:rPr>
  </w:style>
  <w:style w:type="paragraph" w:styleId="746">
    <w:name w:val="Footer"/>
    <w:basedOn w:val="716"/>
    <w:link w:val="7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7" w:customStyle="1">
    <w:name w:val="Нижний колонтитул Знак"/>
    <w:basedOn w:val="726"/>
    <w:link w:val="746"/>
    <w:uiPriority w:val="99"/>
    <w:rPr>
      <w:sz w:val="28"/>
      <w:szCs w:val="28"/>
      <w:lang w:eastAsia="ru-RU"/>
    </w:rPr>
  </w:style>
  <w:style w:type="character" w:styleId="748">
    <w:name w:val="page number"/>
    <w:basedOn w:val="726"/>
  </w:style>
  <w:style w:type="paragraph" w:styleId="749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750" w:customStyle="1">
    <w:name w:val="Основной текст + Полужирный;Интервал 0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paragraph" w:styleId="751" w:customStyle="1">
    <w:name w:val="Основной текст2"/>
    <w:basedOn w:val="716"/>
    <w:pPr>
      <w:ind w:firstLine="0"/>
      <w:spacing w:after="3000" w:line="0" w:lineRule="atLeast"/>
      <w:shd w:val="clear" w:color="auto" w:fill="ffffff"/>
      <w:widowControl w:val="off"/>
    </w:pPr>
    <w:rPr>
      <w:color w:val="000000"/>
      <w:spacing w:val="3"/>
      <w:sz w:val="25"/>
      <w:szCs w:val="25"/>
    </w:rPr>
  </w:style>
  <w:style w:type="paragraph" w:styleId="752">
    <w:name w:val="Balloon Text"/>
    <w:basedOn w:val="716"/>
    <w:link w:val="753"/>
    <w:uiPriority w:val="99"/>
    <w:semiHidden/>
    <w:unhideWhenUsed/>
    <w:rPr>
      <w:rFonts w:ascii="Tahoma" w:hAnsi="Tahoma" w:cs="Tahoma"/>
      <w:sz w:val="16"/>
      <w:szCs w:val="16"/>
    </w:rPr>
  </w:style>
  <w:style w:type="character" w:styleId="753" w:customStyle="1">
    <w:name w:val="Текст выноски Знак"/>
    <w:basedOn w:val="726"/>
    <w:link w:val="752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754">
    <w:name w:val="endnote text"/>
    <w:basedOn w:val="716"/>
    <w:link w:val="755"/>
    <w:uiPriority w:val="99"/>
    <w:semiHidden/>
    <w:unhideWhenUsed/>
    <w:rPr>
      <w:sz w:val="20"/>
      <w:szCs w:val="20"/>
    </w:rPr>
  </w:style>
  <w:style w:type="character" w:styleId="755" w:customStyle="1">
    <w:name w:val="Текст концевой сноски Знак"/>
    <w:basedOn w:val="726"/>
    <w:link w:val="754"/>
    <w:uiPriority w:val="99"/>
    <w:semiHidden/>
    <w:rPr>
      <w:lang w:eastAsia="ru-RU"/>
    </w:rPr>
  </w:style>
  <w:style w:type="character" w:styleId="756">
    <w:name w:val="endnote reference"/>
    <w:basedOn w:val="726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hart" Target="charts/chart1.xml" /><Relationship Id="rId12" Type="http://schemas.openxmlformats.org/officeDocument/2006/relationships/chart" Target="charts/chart2.xml" /><Relationship Id="rId13" Type="http://schemas.openxmlformats.org/officeDocument/2006/relationships/chart" Target="charts/chart3.xml" /><Relationship Id="rId14" Type="http://schemas.openxmlformats.org/officeDocument/2006/relationships/chart" Target="charts/chart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градан, поступивших </a:t>
            </a:r>
            <a:endParaRPr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в Красноярскстат в 2021-2023</a:t>
            </a:r>
            <a:r>
              <a:rPr lang="ru-RU" sz="1200">
                <a:latin typeface="Arial"/>
                <a:cs typeface="Arial"/>
              </a:rPr>
              <a:t> </a:t>
            </a:r>
            <a:r>
              <a:rPr lang="ru-RU" sz="1200">
                <a:latin typeface="Arial"/>
                <a:cs typeface="Arial"/>
              </a:rPr>
              <a:t>гг.</a:t>
            </a:r>
            <a:endParaRPr/>
          </a:p>
        </c:rich>
      </c:tx>
      <c:layout>
        <c:manualLayout>
          <c:xMode val="edge"/>
          <c:yMode val="edge"/>
          <c:x val="0.214634"/>
          <c:y val="0.02046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44627"/>
          <c:y val="0.162369"/>
          <c:w val="0.955373"/>
          <c:h val="0.7737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8285"/>
                  <c:y val="-0.05115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10815"/>
                  <c:y val="-0.05456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13010"/>
                  <c:y val="-0.05457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8786"/>
                  <c:y val="-0.01705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362</c:v>
                </c:pt>
                <c:pt idx="1">
                  <c:v>407</c:v>
                </c:pt>
                <c:pt idx="2">
                  <c:v>402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shape val="cylinder"/>
        <c:axId val="70470272"/>
        <c:axId val="70489600"/>
      </c:bar3DChart>
      <c:catAx>
        <c:axId val="7047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70489600"/>
        <c:crosses val="autoZero"/>
        <c:auto val="1"/>
        <c:lblAlgn val="ctr"/>
        <c:lblOffset val="100"/>
        <c:noMultiLvlLbl val="0"/>
      </c:catAx>
      <c:valAx>
        <c:axId val="70489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0470272"/>
        <c:crosses val="autoZero"/>
        <c:crossBetween val="between"/>
      </c:valAx>
    </c:plotArea>
    <c:plotVisOnly val="1"/>
    <c:dispBlanksAs val="gap"/>
    <c:showDLblsOverMax val="0"/>
  </c:chart>
  <c:spPr bwMode="auto">
    <a:prstGeom prst="rect">
      <a:avLst/>
    </a:prstGeom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 </a:t>
            </a:r>
            <a:endParaRPr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по типу доставки в Красноярскстат</a:t>
            </a:r>
            <a:endParaRPr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4063"/>
                  <c:y val="-0.0104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14207"/>
                  <c:y val="-0.00694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0008"/>
                  <c:y val="-0.00694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6086"/>
                  <c:y val="0.00000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Почта России</c:v>
                </c:pt>
                <c:pt idx="1">
                  <c:v xml:space="preserve">Официальный сайт</c:v>
                </c:pt>
                <c:pt idx="2">
                  <c:v xml:space="preserve">Электронная почта</c:v>
                </c:pt>
                <c:pt idx="3">
                  <c:v xml:space="preserve">Другой способ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22</c:v>
                </c:pt>
                <c:pt idx="2">
                  <c:v>208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2022 год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bg2"/>
            </a:solidFill>
          </c:spPr>
          <c:invertIfNegative val="0"/>
          <c:dLbls>
            <c:dLbl>
              <c:idx val="0"/>
              <c:layout>
                <c:manualLayout>
                  <c:x val="0.014207"/>
                  <c:y val="-0.02083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10148"/>
                  <c:y val="-0.0173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12177"/>
                  <c:y val="-0.020833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2171"/>
                  <c:y val="0.00000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Почта России</c:v>
                </c:pt>
                <c:pt idx="1">
                  <c:v xml:space="preserve">Официальный сайт</c:v>
                </c:pt>
                <c:pt idx="2">
                  <c:v xml:space="preserve">Электронная почта</c:v>
                </c:pt>
                <c:pt idx="3">
                  <c:v xml:space="preserve">Другой способ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59</c:v>
                </c:pt>
                <c:pt idx="2">
                  <c:v>120</c:v>
                </c:pt>
                <c:pt idx="3">
                  <c:v>181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2023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10148"/>
                  <c:y val="-0.00694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10148"/>
                  <c:y val="-0.0173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12177"/>
                  <c:y val="-0.006944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2171"/>
                  <c:y val="-0.01041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 rot="0" anchor="t" anchorCtr="0"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Почта России</c:v>
                </c:pt>
                <c:pt idx="1">
                  <c:v xml:space="preserve">Официальный сайт</c:v>
                </c:pt>
                <c:pt idx="2">
                  <c:v xml:space="preserve">Электронная почта</c:v>
                </c:pt>
                <c:pt idx="3">
                  <c:v xml:space="preserve">Другой способ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</c:v>
                </c:pt>
                <c:pt idx="1">
                  <c:v>72</c:v>
                </c:pt>
                <c:pt idx="2">
                  <c:v>101</c:v>
                </c:pt>
                <c:pt idx="3">
                  <c:v>148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75"/>
        <c:shape val="cylinder"/>
        <c:axId val="70897664"/>
        <c:axId val="70899200"/>
      </c:bar3DChart>
      <c:catAx>
        <c:axId val="708976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70899200"/>
        <c:crosses val="autoZero"/>
        <c:auto val="1"/>
        <c:lblAlgn val="ctr"/>
        <c:lblOffset val="100"/>
        <c:noMultiLvlLbl val="0"/>
      </c:catAx>
      <c:valAx>
        <c:axId val="70899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08976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Вопросы обращений граждан </a:t>
            </a:r>
            <a:endParaRPr/>
          </a:p>
        </c:rich>
      </c:tx>
      <c:layout>
        <c:manualLayout>
          <c:xMode val="edge"/>
          <c:yMode val="edge"/>
          <c:x val="0.201315"/>
          <c:y val="0.02462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0199"/>
          <c:y val="0.195841"/>
          <c:w val="0.413918"/>
          <c:h val="0.6982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Lbls>
            <c:showBubbleSize val="0"/>
            <c:showCatName val="0"/>
            <c:showLeaderLines val="1"/>
            <c:showLegendKey val="0"/>
            <c:showPercent val="1"/>
            <c:showSerName val="0"/>
            <c:showVal val="0"/>
          </c:dLbls>
          <c:cat>
            <c:strRef>
              <c:f>Лист1!$A$2:$A$3</c:f>
              <c:strCache>
                <c:ptCount val="2"/>
                <c:pt idx="0">
                  <c:v xml:space="preserve">Официальная статистическая информация</c:v>
                </c:pt>
                <c:pt idx="1">
                  <c:v xml:space="preserve"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259</c:v>
                </c:pt>
                <c:pt idx="1">
                  <c:v>143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041645"/>
          <c:y val="0.905385"/>
          <c:w val="0.892906"/>
          <c:h val="0.070000"/>
        </c:manualLayout>
      </c:layout>
      <c:overlay val="0"/>
    </c:legend>
    <c:plotVisOnly val="1"/>
    <c:dispBlanksAs val="zero"/>
    <c:showDLblsOverMax val="0"/>
  </c:chart>
  <c:spPr bwMode="auto">
    <a:prstGeom prst="rect">
      <a:avLst/>
    </a:prstGeom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/>
                <a:cs typeface="Arial"/>
              </a:defRPr>
            </a:pPr>
            <a:r>
              <a:rPr lang="ru-RU" sz="1400">
                <a:latin typeface="Arial"/>
                <a:cs typeface="Arial"/>
              </a:rPr>
              <a:t>Результаты рассмотрения обращений</a:t>
            </a:r>
            <a:endParaRPr/>
          </a:p>
        </c:rich>
      </c:tx>
      <c:layout>
        <c:manualLayout>
          <c:xMode val="edge"/>
          <c:yMode val="edge"/>
          <c:x val="0.135307"/>
          <c:y val="0.023779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41952"/>
          <c:y val="0.164864"/>
          <c:w val="0.567515"/>
          <c:h val="0.7108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</a:gradFill>
            <a:ln>
              <a:noFill/>
            </a:ln>
            <a:effectLst/>
          </c:spPr>
          <c:explosion val="18"/>
          <c:dPt>
            <c:idx val="0"/>
            <c:bubble3D val="0"/>
            <c:spPr bwMode="auto">
              <a:prstGeom prst="rect">
                <a:avLst/>
              </a:prstGeom>
              <a:solidFill>
                <a:srgbClr val="4F81BD"/>
              </a:solidFill>
              <a:ln>
                <a:noFill/>
              </a:ln>
              <a:effectLst/>
            </c:spPr>
          </c:dPt>
          <c:dPt>
            <c:idx val="1"/>
            <c:bubble3D val="0"/>
            <c:spPr bwMode="auto">
              <a:prstGeom prst="rect">
                <a:avLst/>
              </a:prstGeom>
              <a:gradFill>
                <a:gsLst>
                  <a:gs pos="0">
                    <a:srgbClr val="8B8A82">
                      <a:tint val="66000"/>
                      <a:satMod val="160000"/>
                    </a:srgbClr>
                  </a:gs>
                  <a:gs pos="50000">
                    <a:srgbClr val="8B8A82">
                      <a:tint val="44500"/>
                      <a:satMod val="160000"/>
                    </a:srgbClr>
                  </a:gs>
                  <a:gs pos="100000">
                    <a:srgbClr val="8B8A82">
                      <a:tint val="23500"/>
                      <a:satMod val="160000"/>
                    </a:srgbClr>
                  </a:gs>
                </a:gsLst>
                <a:lin ang="5400000" scaled="1"/>
              </a:gradFill>
              <a:ln>
                <a:noFill/>
              </a:ln>
              <a:effectLst/>
            </c:spPr>
          </c:dPt>
          <c:dPt>
            <c:idx val="2"/>
            <c:bubble3D val="0"/>
            <c:spPr bwMode="auto">
              <a:prstGeom prst="rect">
                <a:avLst/>
              </a:prstGeom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1"/>
              </a:gradFill>
              <a:ln>
                <a:noFill/>
              </a:ln>
              <a:effectLst/>
            </c:spPr>
          </c:dPt>
          <c:dLbls>
            <c:dLbl>
              <c:idx val="0"/>
              <c:dLblPos val="bestFit"/>
              <c:layout>
                <c:manualLayout>
                  <c:x val="-0.092913"/>
                  <c:y val="-0.16549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dLblPos val="bestFit"/>
              <c:layout>
                <c:manualLayout>
                  <c:x val="0.074564"/>
                  <c:y val="-0.06621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dLblPos val="bestFit"/>
              <c:layout>
                <c:manualLayout>
                  <c:x val="0.020030"/>
                  <c:y val="0.09456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dLblPos val="bestFit"/>
              <c:layout>
                <c:manualLayout>
                  <c:x val="0.004616"/>
                  <c:y val="0.0425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Pos val="outEnd"/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 xml:space="preserve">Предоставлена государственная услуга</c:v>
                </c:pt>
                <c:pt idx="1">
                  <c:v>Разъяснено</c:v>
                </c:pt>
                <c:pt idx="2">
                  <c:v>Поддержано</c:v>
                </c:pt>
                <c:pt idx="3">
                  <c:v xml:space="preserve">Направлено по компетенции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255</c:v>
                </c:pt>
                <c:pt idx="1">
                  <c:v>60</c:v>
                </c:pt>
                <c:pt idx="2">
                  <c:v>79</c:v>
                </c:pt>
                <c:pt idx="3">
                  <c:v>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</c:pie3DChart>
    </c:plotArea>
    <c:legend>
      <c:legendPos val="r"/>
      <c:layout>
        <c:manualLayout>
          <c:xMode val="edge"/>
          <c:yMode val="edge"/>
          <c:x val="0.593389"/>
          <c:y val="0.382089"/>
          <c:w val="0.341274"/>
          <c:h val="0.458045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 bwMode="auto">
    <a:prstGeom prst="rect">
      <a:avLst/>
    </a:prstGeom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9F20-68AA-4919-AD56-6F70EF1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Березовская С.И., Заместитель руководителя</cp:lastModifiedBy>
  <cp:revision>33</cp:revision>
  <dcterms:created xsi:type="dcterms:W3CDTF">2022-01-12T08:30:00Z</dcterms:created>
  <dcterms:modified xsi:type="dcterms:W3CDTF">2024-01-22T03:53:38Z</dcterms:modified>
</cp:coreProperties>
</file>